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69CB4" w14:textId="77777777" w:rsidR="00E00BD9" w:rsidRDefault="00E00BD9" w:rsidP="00E00BD9">
      <w:pPr>
        <w:jc w:val="center"/>
        <w:rPr>
          <w:b/>
          <w:sz w:val="24"/>
          <w:szCs w:val="24"/>
        </w:rPr>
      </w:pPr>
      <w:bookmarkStart w:id="0" w:name="_GoBack"/>
      <w:bookmarkEnd w:id="0"/>
      <w:r>
        <w:rPr>
          <w:noProof/>
          <w:lang w:eastAsia="en-GB"/>
        </w:rPr>
        <w:drawing>
          <wp:inline distT="0" distB="0" distL="0" distR="0" wp14:anchorId="3AD886A3" wp14:editId="1FB1DD61">
            <wp:extent cx="2583180" cy="579120"/>
            <wp:effectExtent l="0" t="0" r="7620" b="0"/>
            <wp:docPr id="1" name="Picture 1" descr="LogoERDF_Col_Landscape"/>
            <wp:cNvGraphicFramePr/>
            <a:graphic xmlns:a="http://schemas.openxmlformats.org/drawingml/2006/main">
              <a:graphicData uri="http://schemas.openxmlformats.org/drawingml/2006/picture">
                <pic:pic xmlns:pic="http://schemas.openxmlformats.org/drawingml/2006/picture">
                  <pic:nvPicPr>
                    <pic:cNvPr id="1" name="Picture 1" descr="LogoERDF_Col_Landscap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3180" cy="579120"/>
                    </a:xfrm>
                    <a:prstGeom prst="rect">
                      <a:avLst/>
                    </a:prstGeom>
                    <a:noFill/>
                    <a:ln>
                      <a:noFill/>
                    </a:ln>
                  </pic:spPr>
                </pic:pic>
              </a:graphicData>
            </a:graphic>
          </wp:inline>
        </w:drawing>
      </w:r>
    </w:p>
    <w:p w14:paraId="0E0684DA" w14:textId="77777777" w:rsidR="00E00BD9" w:rsidRPr="00091282" w:rsidRDefault="00E00BD9" w:rsidP="00E00BD9">
      <w:pPr>
        <w:jc w:val="center"/>
        <w:rPr>
          <w:b/>
          <w:sz w:val="24"/>
          <w:szCs w:val="24"/>
        </w:rPr>
      </w:pPr>
      <w:r w:rsidRPr="00091282">
        <w:rPr>
          <w:b/>
          <w:sz w:val="24"/>
          <w:szCs w:val="24"/>
        </w:rPr>
        <w:t>Backstage Innovation Hub Project XPLOR</w:t>
      </w:r>
      <w:r>
        <w:rPr>
          <w:b/>
          <w:sz w:val="24"/>
          <w:szCs w:val="24"/>
        </w:rPr>
        <w:t xml:space="preserve">  </w:t>
      </w:r>
    </w:p>
    <w:p w14:paraId="2B236268" w14:textId="77777777" w:rsidR="00E00BD9" w:rsidRDefault="00E00BD9" w:rsidP="00E00BD9">
      <w:pPr>
        <w:jc w:val="center"/>
        <w:rPr>
          <w:b/>
          <w:sz w:val="24"/>
          <w:szCs w:val="24"/>
        </w:rPr>
      </w:pPr>
      <w:r w:rsidRPr="00091282">
        <w:rPr>
          <w:b/>
          <w:sz w:val="24"/>
          <w:szCs w:val="24"/>
        </w:rPr>
        <w:t>Invitation to quote</w:t>
      </w:r>
      <w:r>
        <w:rPr>
          <w:b/>
          <w:sz w:val="24"/>
          <w:szCs w:val="24"/>
        </w:rPr>
        <w:t xml:space="preserve"> </w:t>
      </w:r>
    </w:p>
    <w:p w14:paraId="07830700" w14:textId="77777777" w:rsidR="00E00BD9" w:rsidRDefault="00E00BD9" w:rsidP="00E00BD9">
      <w:pPr>
        <w:jc w:val="center"/>
        <w:rPr>
          <w:b/>
          <w:sz w:val="24"/>
          <w:szCs w:val="24"/>
        </w:rPr>
      </w:pPr>
      <w:r>
        <w:rPr>
          <w:b/>
          <w:sz w:val="24"/>
          <w:szCs w:val="24"/>
        </w:rPr>
        <w:t>Summative Assessment Evaluation of Project</w:t>
      </w:r>
    </w:p>
    <w:p w14:paraId="48B04EF6" w14:textId="77777777" w:rsidR="00E00BD9" w:rsidRDefault="004A4533" w:rsidP="00E00BD9">
      <w:pPr>
        <w:jc w:val="center"/>
        <w:rPr>
          <w:b/>
          <w:sz w:val="24"/>
          <w:szCs w:val="24"/>
        </w:rPr>
      </w:pPr>
      <w:r>
        <w:rPr>
          <w:b/>
          <w:sz w:val="24"/>
          <w:szCs w:val="24"/>
        </w:rPr>
        <w:t>I</w:t>
      </w:r>
      <w:r w:rsidR="00E00BD9">
        <w:rPr>
          <w:b/>
          <w:sz w:val="24"/>
          <w:szCs w:val="24"/>
        </w:rPr>
        <w:t>nvitation to quote</w:t>
      </w:r>
      <w:r>
        <w:rPr>
          <w:b/>
          <w:sz w:val="24"/>
          <w:szCs w:val="24"/>
        </w:rPr>
        <w:t>.</w:t>
      </w:r>
      <w:r w:rsidR="00E00BD9">
        <w:rPr>
          <w:b/>
          <w:sz w:val="24"/>
          <w:szCs w:val="24"/>
        </w:rPr>
        <w:t xml:space="preserve"> </w:t>
      </w:r>
      <w:r>
        <w:rPr>
          <w:b/>
          <w:sz w:val="24"/>
          <w:szCs w:val="24"/>
        </w:rPr>
        <w:t>I</w:t>
      </w:r>
      <w:r w:rsidR="00E00BD9">
        <w:rPr>
          <w:b/>
          <w:sz w:val="24"/>
          <w:szCs w:val="24"/>
        </w:rPr>
        <w:t xml:space="preserve">nterested parties please email for the full information pack </w:t>
      </w:r>
      <w:hyperlink r:id="rId10" w:history="1">
        <w:r w:rsidR="00E00BD9" w:rsidRPr="00BE173D">
          <w:rPr>
            <w:rStyle w:val="Hyperlink"/>
            <w:b/>
            <w:sz w:val="24"/>
            <w:szCs w:val="24"/>
          </w:rPr>
          <w:t>backstageinnovationhub@wakefield.gov.uk</w:t>
        </w:r>
      </w:hyperlink>
    </w:p>
    <w:p w14:paraId="2ED2038B" w14:textId="77777777" w:rsidR="00E00BD9" w:rsidRDefault="00E00BD9" w:rsidP="00E00BD9">
      <w:pPr>
        <w:jc w:val="center"/>
        <w:rPr>
          <w:b/>
          <w:sz w:val="24"/>
          <w:szCs w:val="24"/>
        </w:rPr>
      </w:pPr>
      <w:r>
        <w:rPr>
          <w:noProof/>
          <w:lang w:eastAsia="en-GB"/>
        </w:rPr>
        <w:drawing>
          <wp:inline distT="0" distB="0" distL="0" distR="0" wp14:anchorId="058694A1" wp14:editId="1700956B">
            <wp:extent cx="1516380" cy="769620"/>
            <wp:effectExtent l="0" t="0" r="0" b="0"/>
            <wp:docPr id="2" name="Picture 1" descr="http://sharepoint/Teams/EGH/EconomicD/Funding/BackStage%20Innovation%20Hub/11.%20Publicity%20and%20Marketing/Logos/Backstage%20logos/XPLOR%20LOGO%20LANDSCAPE.png"/>
            <wp:cNvGraphicFramePr/>
            <a:graphic xmlns:a="http://schemas.openxmlformats.org/drawingml/2006/main">
              <a:graphicData uri="http://schemas.openxmlformats.org/drawingml/2006/picture">
                <pic:pic xmlns:pic="http://schemas.openxmlformats.org/drawingml/2006/picture">
                  <pic:nvPicPr>
                    <pic:cNvPr id="2" name="Picture 1" descr="http://sharepoint/Teams/EGH/EconomicD/Funding/BackStage%20Innovation%20Hub/11.%20Publicity%20and%20Marketing/Logos/Backstage%20logos/XPLOR%20LOGO%20LANDSCAPE.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769620"/>
                    </a:xfrm>
                    <a:prstGeom prst="rect">
                      <a:avLst/>
                    </a:prstGeom>
                    <a:noFill/>
                    <a:ln>
                      <a:noFill/>
                    </a:ln>
                  </pic:spPr>
                </pic:pic>
              </a:graphicData>
            </a:graphic>
          </wp:inline>
        </w:drawing>
      </w:r>
    </w:p>
    <w:p w14:paraId="49DEAC9C" w14:textId="77777777" w:rsidR="00E00BD9" w:rsidRPr="0075351C" w:rsidRDefault="00E00BD9" w:rsidP="00E00BD9">
      <w:pPr>
        <w:pStyle w:val="Heading1"/>
        <w:spacing w:after="0"/>
        <w:rPr>
          <w:rFonts w:asciiTheme="minorHAnsi" w:eastAsiaTheme="minorHAnsi" w:hAnsiTheme="minorHAnsi" w:cstheme="minorBidi"/>
          <w:bCs w:val="0"/>
          <w:kern w:val="0"/>
          <w:sz w:val="24"/>
          <w:szCs w:val="24"/>
          <w:lang w:eastAsia="en-US"/>
        </w:rPr>
      </w:pPr>
      <w:bookmarkStart w:id="1" w:name="_Toc57025244"/>
      <w:r w:rsidRPr="0075351C">
        <w:rPr>
          <w:rFonts w:asciiTheme="minorHAnsi" w:eastAsiaTheme="minorHAnsi" w:hAnsiTheme="minorHAnsi" w:cstheme="minorBidi"/>
          <w:bCs w:val="0"/>
          <w:kern w:val="0"/>
          <w:sz w:val="24"/>
          <w:szCs w:val="24"/>
          <w:lang w:eastAsia="en-US"/>
        </w:rPr>
        <w:t>Scope of Evaluation Activities</w:t>
      </w:r>
      <w:bookmarkEnd w:id="1"/>
    </w:p>
    <w:p w14:paraId="7E90B097" w14:textId="77777777" w:rsidR="00E00BD9" w:rsidRPr="0075351C" w:rsidRDefault="00E00BD9" w:rsidP="00E00BD9">
      <w:pPr>
        <w:spacing w:after="0"/>
        <w:rPr>
          <w:sz w:val="24"/>
          <w:szCs w:val="24"/>
        </w:rPr>
      </w:pPr>
      <w:r w:rsidRPr="0075351C">
        <w:rPr>
          <w:sz w:val="24"/>
          <w:szCs w:val="24"/>
        </w:rPr>
        <w:t>There are a number of key areas that the team would like to focus on via the evaluation and summative assessment process.  The approach to the evaluation activities will be considered and agreed with the organisation appointed to undertake the evaluation. The key areas to be evaluated are:</w:t>
      </w:r>
    </w:p>
    <w:p w14:paraId="0FD37B7B" w14:textId="77777777" w:rsidR="00E00BD9" w:rsidRPr="0075351C" w:rsidRDefault="00E00BD9" w:rsidP="00E00BD9">
      <w:pPr>
        <w:pStyle w:val="ListParagraph"/>
        <w:numPr>
          <w:ilvl w:val="0"/>
          <w:numId w:val="1"/>
        </w:numPr>
        <w:jc w:val="both"/>
        <w:rPr>
          <w:rFonts w:asciiTheme="minorHAnsi" w:hAnsiTheme="minorHAnsi" w:cstheme="minorBidi"/>
        </w:rPr>
      </w:pPr>
      <w:r w:rsidRPr="0075351C">
        <w:rPr>
          <w:rFonts w:asciiTheme="minorHAnsi" w:hAnsiTheme="minorHAnsi" w:cstheme="minorBidi"/>
        </w:rPr>
        <w:t>The physical and activity design of the project and whether these maximised the project outcomes and impact.</w:t>
      </w:r>
    </w:p>
    <w:p w14:paraId="3F34E371" w14:textId="77777777" w:rsidR="00E00BD9" w:rsidRPr="0075351C" w:rsidRDefault="00E00BD9" w:rsidP="00E00BD9">
      <w:pPr>
        <w:pStyle w:val="ListParagraph"/>
        <w:numPr>
          <w:ilvl w:val="0"/>
          <w:numId w:val="1"/>
        </w:numPr>
        <w:jc w:val="both"/>
        <w:rPr>
          <w:rFonts w:asciiTheme="minorHAnsi" w:hAnsiTheme="minorHAnsi" w:cstheme="minorBidi"/>
        </w:rPr>
      </w:pPr>
      <w:r w:rsidRPr="0075351C">
        <w:rPr>
          <w:rFonts w:asciiTheme="minorHAnsi" w:hAnsiTheme="minorHAnsi" w:cstheme="minorBidi"/>
        </w:rPr>
        <w:t>Project performance against targets</w:t>
      </w:r>
    </w:p>
    <w:p w14:paraId="6B064402" w14:textId="77777777" w:rsidR="00E00BD9" w:rsidRPr="0075351C" w:rsidRDefault="00E00BD9" w:rsidP="00E00BD9">
      <w:pPr>
        <w:pStyle w:val="ListParagraph"/>
        <w:numPr>
          <w:ilvl w:val="0"/>
          <w:numId w:val="1"/>
        </w:numPr>
        <w:jc w:val="both"/>
        <w:rPr>
          <w:rFonts w:asciiTheme="minorHAnsi" w:hAnsiTheme="minorHAnsi" w:cstheme="minorBidi"/>
        </w:rPr>
      </w:pPr>
      <w:r w:rsidRPr="0075351C">
        <w:rPr>
          <w:rFonts w:asciiTheme="minorHAnsi" w:hAnsiTheme="minorHAnsi" w:cstheme="minorBidi"/>
        </w:rPr>
        <w:t>The impact of the project outcomes and how they represent value for money</w:t>
      </w:r>
    </w:p>
    <w:p w14:paraId="6A6BF863" w14:textId="77777777" w:rsidR="00E00BD9" w:rsidRPr="0075351C" w:rsidRDefault="00E00BD9" w:rsidP="00E00BD9">
      <w:pPr>
        <w:pStyle w:val="ListParagraph"/>
        <w:numPr>
          <w:ilvl w:val="0"/>
          <w:numId w:val="1"/>
        </w:numPr>
        <w:jc w:val="both"/>
        <w:rPr>
          <w:rFonts w:asciiTheme="minorHAnsi" w:hAnsiTheme="minorHAnsi" w:cstheme="minorBidi"/>
        </w:rPr>
      </w:pPr>
      <w:r w:rsidRPr="0075351C">
        <w:rPr>
          <w:rFonts w:asciiTheme="minorHAnsi" w:hAnsiTheme="minorHAnsi" w:cstheme="minorBidi"/>
        </w:rPr>
        <w:t xml:space="preserve">Lessons learned through the delivery of the project </w:t>
      </w:r>
    </w:p>
    <w:p w14:paraId="4B24CAF3" w14:textId="77777777" w:rsidR="00E00BD9" w:rsidRPr="0075351C" w:rsidRDefault="00E00BD9" w:rsidP="00E00BD9">
      <w:pPr>
        <w:pStyle w:val="ListParagraph"/>
        <w:numPr>
          <w:ilvl w:val="0"/>
          <w:numId w:val="1"/>
        </w:numPr>
        <w:jc w:val="both"/>
        <w:rPr>
          <w:rFonts w:asciiTheme="minorHAnsi" w:hAnsiTheme="minorHAnsi" w:cstheme="minorBidi"/>
        </w:rPr>
      </w:pPr>
      <w:r w:rsidRPr="0075351C">
        <w:rPr>
          <w:rFonts w:asciiTheme="minorHAnsi" w:hAnsiTheme="minorHAnsi" w:cstheme="minorBidi"/>
        </w:rPr>
        <w:t>Key messages and dissemination strategy</w:t>
      </w:r>
    </w:p>
    <w:p w14:paraId="5D8AB613" w14:textId="77777777" w:rsidR="00E00BD9" w:rsidRPr="0075351C" w:rsidRDefault="00E00BD9" w:rsidP="00E00BD9">
      <w:pPr>
        <w:pStyle w:val="ListParagraph"/>
        <w:numPr>
          <w:ilvl w:val="0"/>
          <w:numId w:val="1"/>
        </w:numPr>
        <w:spacing w:after="0"/>
        <w:rPr>
          <w:rFonts w:asciiTheme="minorHAnsi" w:hAnsiTheme="minorHAnsi" w:cstheme="minorBidi"/>
        </w:rPr>
      </w:pPr>
      <w:r w:rsidRPr="0075351C">
        <w:rPr>
          <w:rFonts w:asciiTheme="minorHAnsi" w:hAnsiTheme="minorHAnsi" w:cstheme="minorBidi"/>
        </w:rPr>
        <w:t>What has worked well – successes and definitions of success</w:t>
      </w:r>
    </w:p>
    <w:p w14:paraId="2D77E306" w14:textId="77777777" w:rsidR="00E00BD9" w:rsidRPr="0075351C" w:rsidRDefault="00E00BD9" w:rsidP="00E00BD9">
      <w:pPr>
        <w:pStyle w:val="ListParagraph"/>
        <w:numPr>
          <w:ilvl w:val="0"/>
          <w:numId w:val="1"/>
        </w:numPr>
        <w:spacing w:after="0"/>
        <w:rPr>
          <w:rFonts w:asciiTheme="minorHAnsi" w:hAnsiTheme="minorHAnsi" w:cstheme="minorBidi"/>
        </w:rPr>
      </w:pPr>
      <w:r w:rsidRPr="0075351C">
        <w:rPr>
          <w:rFonts w:asciiTheme="minorHAnsi" w:hAnsiTheme="minorHAnsi" w:cstheme="minorBidi"/>
        </w:rPr>
        <w:t>What has not worked well, and why</w:t>
      </w:r>
    </w:p>
    <w:p w14:paraId="6B4D3B23" w14:textId="77777777" w:rsidR="00E00BD9" w:rsidRPr="0075351C" w:rsidRDefault="00E00BD9" w:rsidP="00E00BD9">
      <w:pPr>
        <w:pStyle w:val="ListParagraph"/>
        <w:numPr>
          <w:ilvl w:val="0"/>
          <w:numId w:val="1"/>
        </w:numPr>
        <w:spacing w:after="0"/>
        <w:rPr>
          <w:rFonts w:asciiTheme="minorHAnsi" w:hAnsiTheme="minorHAnsi" w:cstheme="minorBidi"/>
        </w:rPr>
      </w:pPr>
      <w:r w:rsidRPr="0075351C">
        <w:rPr>
          <w:rFonts w:asciiTheme="minorHAnsi" w:hAnsiTheme="minorHAnsi" w:cstheme="minorBidi"/>
        </w:rPr>
        <w:t>What might have been done differently, and why</w:t>
      </w:r>
    </w:p>
    <w:p w14:paraId="0CE2A561" w14:textId="77777777" w:rsidR="00E00BD9" w:rsidRPr="0075351C" w:rsidRDefault="00E00BD9" w:rsidP="00E00BD9">
      <w:pPr>
        <w:pStyle w:val="ListParagraph"/>
        <w:numPr>
          <w:ilvl w:val="0"/>
          <w:numId w:val="1"/>
        </w:numPr>
        <w:spacing w:after="0"/>
        <w:rPr>
          <w:rFonts w:asciiTheme="minorHAnsi" w:hAnsiTheme="minorHAnsi" w:cstheme="minorBidi"/>
        </w:rPr>
      </w:pPr>
      <w:r w:rsidRPr="0075351C">
        <w:rPr>
          <w:rFonts w:asciiTheme="minorHAnsi" w:hAnsiTheme="minorHAnsi" w:cstheme="minorBidi"/>
        </w:rPr>
        <w:t>What, if any, fundamental changes might have led to better outcomes</w:t>
      </w:r>
    </w:p>
    <w:p w14:paraId="6DEF30DC"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What will the legacy of the programme be? Is there a continuing role for the Project Board including strategic involvement for WMDC</w:t>
      </w:r>
    </w:p>
    <w:p w14:paraId="0C3251B9"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Would longitudinal evaluation of the ongoing use of the R&amp;D space offer value.</w:t>
      </w:r>
    </w:p>
    <w:p w14:paraId="0175EBF8"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How well the project engaged with females who are typically under- represented in this sector particularly on engineering and STEM activities.</w:t>
      </w:r>
    </w:p>
    <w:p w14:paraId="23EA40B1"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How activities have contributed to strategic objectives</w:t>
      </w:r>
    </w:p>
    <w:p w14:paraId="6CC09799"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 xml:space="preserve">How the project has offered additionality over and above the intended project outcomes. </w:t>
      </w:r>
    </w:p>
    <w:p w14:paraId="3384B0FF" w14:textId="77777777" w:rsidR="00E00BD9" w:rsidRPr="0075351C" w:rsidRDefault="00E00BD9" w:rsidP="00E00BD9">
      <w:pPr>
        <w:pStyle w:val="ListParagraph"/>
        <w:numPr>
          <w:ilvl w:val="0"/>
          <w:numId w:val="1"/>
        </w:numPr>
        <w:spacing w:after="0" w:line="240" w:lineRule="auto"/>
        <w:rPr>
          <w:rFonts w:asciiTheme="minorHAnsi" w:hAnsiTheme="minorHAnsi" w:cstheme="minorBidi"/>
        </w:rPr>
      </w:pPr>
      <w:r w:rsidRPr="0075351C">
        <w:rPr>
          <w:rFonts w:asciiTheme="minorHAnsi" w:hAnsiTheme="minorHAnsi" w:cstheme="minorBidi"/>
        </w:rPr>
        <w:t xml:space="preserve">The effectiveness of relationships between WMDC, Backstage Academy and other stakeholders </w:t>
      </w:r>
    </w:p>
    <w:p w14:paraId="0486F1CB" w14:textId="77777777" w:rsidR="00E00BD9" w:rsidRPr="00CD04C3" w:rsidRDefault="00E00BD9" w:rsidP="00E00BD9">
      <w:pPr>
        <w:pStyle w:val="ListParagraph"/>
        <w:numPr>
          <w:ilvl w:val="0"/>
          <w:numId w:val="1"/>
        </w:numPr>
        <w:spacing w:after="0" w:line="240" w:lineRule="auto"/>
        <w:rPr>
          <w:rFonts w:asciiTheme="minorHAnsi" w:hAnsiTheme="minorHAnsi" w:cstheme="minorBidi"/>
          <w:sz w:val="22"/>
          <w:szCs w:val="22"/>
        </w:rPr>
      </w:pPr>
      <w:r w:rsidRPr="00CD04C3">
        <w:rPr>
          <w:rFonts w:asciiTheme="minorHAnsi" w:hAnsiTheme="minorHAnsi" w:cstheme="minorBidi"/>
          <w:sz w:val="22"/>
          <w:szCs w:val="22"/>
        </w:rPr>
        <w:t>The ongoing strength and development of these partnerships and other future shared benefits.</w:t>
      </w:r>
    </w:p>
    <w:p w14:paraId="47F6B357" w14:textId="77777777" w:rsidR="00E00BD9" w:rsidRPr="00CD04C3" w:rsidRDefault="00E00BD9" w:rsidP="00E00BD9">
      <w:pPr>
        <w:pStyle w:val="ListParagraph"/>
        <w:numPr>
          <w:ilvl w:val="0"/>
          <w:numId w:val="1"/>
        </w:numPr>
        <w:spacing w:after="0" w:line="240" w:lineRule="auto"/>
        <w:rPr>
          <w:rFonts w:asciiTheme="minorHAnsi" w:hAnsiTheme="minorHAnsi" w:cstheme="minorBidi"/>
          <w:sz w:val="22"/>
          <w:szCs w:val="22"/>
        </w:rPr>
      </w:pPr>
      <w:r w:rsidRPr="00CD04C3">
        <w:rPr>
          <w:rFonts w:asciiTheme="minorHAnsi" w:hAnsiTheme="minorHAnsi" w:cstheme="minorBidi"/>
          <w:sz w:val="22"/>
          <w:szCs w:val="22"/>
        </w:rPr>
        <w:lastRenderedPageBreak/>
        <w:t>The strategic impact of the project and how this aligns with  corporate priorities for WMDC</w:t>
      </w:r>
    </w:p>
    <w:p w14:paraId="5E4AEC17" w14:textId="77777777" w:rsidR="00E00BD9" w:rsidRPr="00CD04C3" w:rsidRDefault="00E00BD9" w:rsidP="00E00BD9">
      <w:pPr>
        <w:pStyle w:val="ListParagraph"/>
        <w:numPr>
          <w:ilvl w:val="0"/>
          <w:numId w:val="1"/>
        </w:numPr>
        <w:spacing w:after="0" w:line="240" w:lineRule="auto"/>
        <w:rPr>
          <w:rFonts w:asciiTheme="minorHAnsi" w:hAnsiTheme="minorHAnsi" w:cstheme="minorBidi"/>
          <w:sz w:val="22"/>
          <w:szCs w:val="22"/>
        </w:rPr>
      </w:pPr>
      <w:r w:rsidRPr="00CD04C3">
        <w:rPr>
          <w:rFonts w:asciiTheme="minorHAnsi" w:hAnsiTheme="minorHAnsi" w:cstheme="minorBidi"/>
          <w:sz w:val="22"/>
          <w:szCs w:val="22"/>
        </w:rPr>
        <w:t>The strategic impact of the project and how it has shaped future developments for the creative sector industries and particularly on Production park</w:t>
      </w:r>
    </w:p>
    <w:p w14:paraId="7B50263D" w14:textId="77777777" w:rsidR="00E00BD9" w:rsidRPr="00CD04C3" w:rsidRDefault="00E00BD9" w:rsidP="00E00BD9">
      <w:pPr>
        <w:pStyle w:val="ListParagraph"/>
        <w:numPr>
          <w:ilvl w:val="0"/>
          <w:numId w:val="1"/>
        </w:numPr>
        <w:spacing w:after="0" w:line="240" w:lineRule="auto"/>
        <w:rPr>
          <w:rFonts w:asciiTheme="minorHAnsi" w:hAnsiTheme="minorHAnsi" w:cstheme="minorBidi"/>
          <w:sz w:val="22"/>
          <w:szCs w:val="22"/>
        </w:rPr>
      </w:pPr>
      <w:r w:rsidRPr="00CD04C3">
        <w:rPr>
          <w:rFonts w:asciiTheme="minorHAnsi" w:hAnsiTheme="minorHAnsi" w:cstheme="minorBidi"/>
          <w:sz w:val="22"/>
          <w:szCs w:val="22"/>
        </w:rPr>
        <w:t>The impact that the project has had on SME’s in this sector in Wakefield District and beyond.</w:t>
      </w:r>
    </w:p>
    <w:p w14:paraId="4CD7E3FA" w14:textId="77777777" w:rsidR="00E00BD9" w:rsidRPr="00B948E6" w:rsidRDefault="00E00BD9" w:rsidP="00E00BD9">
      <w:pPr>
        <w:numPr>
          <w:ilvl w:val="0"/>
          <w:numId w:val="1"/>
        </w:numPr>
        <w:spacing w:line="240" w:lineRule="auto"/>
        <w:contextualSpacing/>
      </w:pPr>
      <w:r w:rsidRPr="00B948E6">
        <w:t>Cross-cutting themes – delivery to support sustainability and equality.</w:t>
      </w:r>
    </w:p>
    <w:p w14:paraId="1151C45E" w14:textId="77777777" w:rsidR="00E00BD9" w:rsidRPr="00CD04C3" w:rsidRDefault="00E00BD9" w:rsidP="00E00BD9">
      <w:pPr>
        <w:pStyle w:val="Heading1"/>
        <w:spacing w:after="0"/>
        <w:jc w:val="both"/>
        <w:rPr>
          <w:rFonts w:asciiTheme="minorHAnsi" w:eastAsiaTheme="minorHAnsi" w:hAnsiTheme="minorHAnsi" w:cstheme="minorBidi"/>
          <w:bCs w:val="0"/>
          <w:kern w:val="0"/>
          <w:sz w:val="22"/>
          <w:szCs w:val="22"/>
          <w:lang w:eastAsia="en-US"/>
        </w:rPr>
      </w:pPr>
      <w:bookmarkStart w:id="2" w:name="_Toc57025245"/>
      <w:r w:rsidRPr="00CD04C3">
        <w:rPr>
          <w:rFonts w:asciiTheme="minorHAnsi" w:eastAsiaTheme="minorHAnsi" w:hAnsiTheme="minorHAnsi" w:cstheme="minorBidi"/>
          <w:bCs w:val="0"/>
          <w:kern w:val="0"/>
          <w:sz w:val="22"/>
          <w:szCs w:val="22"/>
          <w:lang w:eastAsia="en-US"/>
        </w:rPr>
        <w:t>Costs and Funding</w:t>
      </w:r>
      <w:bookmarkEnd w:id="2"/>
    </w:p>
    <w:p w14:paraId="08E6F5C3" w14:textId="77777777" w:rsidR="00E00BD9" w:rsidRPr="00643CDA" w:rsidRDefault="00E00BD9" w:rsidP="00E00BD9">
      <w:pPr>
        <w:spacing w:after="0" w:line="240" w:lineRule="auto"/>
        <w:jc w:val="both"/>
        <w:textAlignment w:val="center"/>
      </w:pPr>
    </w:p>
    <w:p w14:paraId="1F6EE261" w14:textId="77777777" w:rsidR="00E00BD9" w:rsidRPr="0075351C" w:rsidRDefault="00E00BD9" w:rsidP="00E00BD9">
      <w:pPr>
        <w:spacing w:after="0" w:line="240" w:lineRule="auto"/>
        <w:jc w:val="both"/>
        <w:textAlignment w:val="center"/>
        <w:rPr>
          <w:sz w:val="24"/>
          <w:szCs w:val="24"/>
        </w:rPr>
      </w:pPr>
      <w:r w:rsidRPr="0075351C">
        <w:rPr>
          <w:sz w:val="24"/>
          <w:szCs w:val="24"/>
        </w:rPr>
        <w:t xml:space="preserve">The budget available for all elements of the project (Mid-Term Evaluation, Final Evaluation and Summative Assessment Reporting) is up to £10,000 (inclusive of expenses and VAT). </w:t>
      </w:r>
    </w:p>
    <w:p w14:paraId="7BEF60FA" w14:textId="77777777" w:rsidR="00E00BD9" w:rsidRPr="0075351C" w:rsidRDefault="00E00BD9" w:rsidP="00E00BD9">
      <w:pPr>
        <w:spacing w:after="0" w:line="240" w:lineRule="auto"/>
        <w:jc w:val="both"/>
        <w:textAlignment w:val="center"/>
        <w:rPr>
          <w:sz w:val="24"/>
          <w:szCs w:val="24"/>
        </w:rPr>
      </w:pPr>
    </w:p>
    <w:p w14:paraId="29684A70" w14:textId="77777777" w:rsidR="00E00BD9" w:rsidRDefault="00E00BD9" w:rsidP="00E00BD9">
      <w:pPr>
        <w:spacing w:after="0" w:line="240" w:lineRule="auto"/>
        <w:jc w:val="both"/>
        <w:textAlignment w:val="center"/>
        <w:rPr>
          <w:sz w:val="24"/>
          <w:szCs w:val="24"/>
        </w:rPr>
      </w:pPr>
      <w:r w:rsidRPr="0075351C">
        <w:rPr>
          <w:sz w:val="24"/>
          <w:szCs w:val="24"/>
        </w:rPr>
        <w:t>All bids over £10,000 will be immediately eliminated.</w:t>
      </w:r>
    </w:p>
    <w:p w14:paraId="20FC68A8" w14:textId="77777777" w:rsidR="00E00BD9" w:rsidRPr="0075351C" w:rsidRDefault="00E00BD9" w:rsidP="00E00BD9">
      <w:pPr>
        <w:spacing w:after="0" w:line="240" w:lineRule="auto"/>
        <w:jc w:val="both"/>
        <w:textAlignment w:val="center"/>
        <w:rPr>
          <w:sz w:val="24"/>
          <w:szCs w:val="24"/>
        </w:rPr>
      </w:pPr>
      <w:r>
        <w:rPr>
          <w:sz w:val="24"/>
          <w:szCs w:val="24"/>
        </w:rPr>
        <w:t>The external evaluators will contract directly with Backstage Academy (Training) Ltd.</w:t>
      </w:r>
    </w:p>
    <w:p w14:paraId="0E47B0D4" w14:textId="77777777" w:rsidR="00E00BD9" w:rsidRPr="0075351C" w:rsidRDefault="00E00BD9" w:rsidP="00E00BD9">
      <w:pPr>
        <w:pStyle w:val="Heading1"/>
        <w:spacing w:after="0"/>
        <w:jc w:val="both"/>
        <w:rPr>
          <w:rFonts w:asciiTheme="minorHAnsi" w:eastAsiaTheme="minorHAnsi" w:hAnsiTheme="minorHAnsi" w:cstheme="minorBidi"/>
          <w:bCs w:val="0"/>
          <w:kern w:val="0"/>
          <w:sz w:val="24"/>
          <w:szCs w:val="24"/>
          <w:lang w:eastAsia="en-US"/>
        </w:rPr>
      </w:pPr>
      <w:bookmarkStart w:id="3" w:name="_Toc57025246"/>
      <w:r w:rsidRPr="0075351C">
        <w:rPr>
          <w:rFonts w:asciiTheme="minorHAnsi" w:eastAsiaTheme="minorHAnsi" w:hAnsiTheme="minorHAnsi" w:cstheme="minorBidi"/>
          <w:bCs w:val="0"/>
          <w:kern w:val="0"/>
          <w:sz w:val="24"/>
          <w:szCs w:val="24"/>
          <w:lang w:eastAsia="en-US"/>
        </w:rPr>
        <w:t>Methods</w:t>
      </w:r>
      <w:bookmarkEnd w:id="3"/>
    </w:p>
    <w:p w14:paraId="6F57668A" w14:textId="77777777" w:rsidR="00E00BD9" w:rsidRPr="0075351C" w:rsidRDefault="00E00BD9" w:rsidP="00E00BD9">
      <w:pPr>
        <w:spacing w:after="0"/>
        <w:jc w:val="both"/>
        <w:rPr>
          <w:sz w:val="24"/>
          <w:szCs w:val="24"/>
        </w:rPr>
      </w:pPr>
      <w:r w:rsidRPr="0075351C">
        <w:rPr>
          <w:sz w:val="24"/>
          <w:szCs w:val="24"/>
        </w:rPr>
        <w:t xml:space="preserve">The methods for conducting the evaluation phases are not prescribed.  Bidders are invited to make proposals in this area with the expectation that these would be finalised in inception following consultation with the XPLOR Project Team.  </w:t>
      </w:r>
    </w:p>
    <w:p w14:paraId="0705BED0" w14:textId="77777777" w:rsidR="00E00BD9" w:rsidRPr="0075351C" w:rsidRDefault="00E00BD9" w:rsidP="00E00BD9">
      <w:pPr>
        <w:spacing w:after="0"/>
        <w:jc w:val="both"/>
        <w:rPr>
          <w:sz w:val="24"/>
          <w:szCs w:val="24"/>
        </w:rPr>
      </w:pPr>
    </w:p>
    <w:p w14:paraId="0275DCA6" w14:textId="77777777" w:rsidR="00E00BD9" w:rsidRPr="0075351C" w:rsidRDefault="00E00BD9" w:rsidP="00E00BD9">
      <w:pPr>
        <w:spacing w:after="0"/>
        <w:jc w:val="both"/>
        <w:rPr>
          <w:b/>
          <w:sz w:val="24"/>
          <w:szCs w:val="24"/>
        </w:rPr>
      </w:pPr>
      <w:r w:rsidRPr="0075351C">
        <w:rPr>
          <w:b/>
          <w:sz w:val="24"/>
          <w:szCs w:val="24"/>
        </w:rPr>
        <w:t>Delivery Timeline</w:t>
      </w:r>
    </w:p>
    <w:p w14:paraId="7E9E90C9" w14:textId="77777777" w:rsidR="00E00BD9" w:rsidRPr="0075351C" w:rsidRDefault="00E00BD9" w:rsidP="00E00BD9">
      <w:pPr>
        <w:spacing w:after="0"/>
        <w:jc w:val="both"/>
        <w:rPr>
          <w:sz w:val="24"/>
          <w:szCs w:val="24"/>
        </w:rPr>
      </w:pPr>
    </w:p>
    <w:p w14:paraId="24256FFA" w14:textId="77777777" w:rsidR="00E00BD9" w:rsidRPr="0075351C" w:rsidRDefault="00E00BD9" w:rsidP="00E00BD9">
      <w:pPr>
        <w:pStyle w:val="ListParagraph"/>
        <w:numPr>
          <w:ilvl w:val="0"/>
          <w:numId w:val="4"/>
        </w:numPr>
        <w:spacing w:after="0" w:line="264" w:lineRule="auto"/>
        <w:jc w:val="both"/>
        <w:rPr>
          <w:rFonts w:asciiTheme="minorHAnsi" w:hAnsiTheme="minorHAnsi" w:cstheme="minorBidi"/>
        </w:rPr>
      </w:pPr>
      <w:r w:rsidRPr="0075351C">
        <w:rPr>
          <w:rFonts w:asciiTheme="minorHAnsi" w:hAnsiTheme="minorHAnsi" w:cstheme="minorBidi"/>
        </w:rPr>
        <w:t xml:space="preserve">Mid-Term Evaluation Report (including lessons learned) – </w:t>
      </w:r>
      <w:r>
        <w:rPr>
          <w:rFonts w:asciiTheme="minorHAnsi" w:hAnsiTheme="minorHAnsi" w:cstheme="minorBidi"/>
        </w:rPr>
        <w:t>March</w:t>
      </w:r>
      <w:r w:rsidRPr="0075351C">
        <w:rPr>
          <w:rFonts w:asciiTheme="minorHAnsi" w:hAnsiTheme="minorHAnsi" w:cstheme="minorBidi"/>
        </w:rPr>
        <w:t xml:space="preserve"> 202</w:t>
      </w:r>
      <w:r>
        <w:rPr>
          <w:rFonts w:asciiTheme="minorHAnsi" w:hAnsiTheme="minorHAnsi" w:cstheme="minorBidi"/>
        </w:rPr>
        <w:t>2</w:t>
      </w:r>
    </w:p>
    <w:p w14:paraId="4B458517" w14:textId="77777777" w:rsidR="00E00BD9" w:rsidRPr="0075351C" w:rsidRDefault="00E00BD9" w:rsidP="00E00BD9">
      <w:pPr>
        <w:pStyle w:val="ListParagraph"/>
        <w:numPr>
          <w:ilvl w:val="0"/>
          <w:numId w:val="4"/>
        </w:numPr>
        <w:spacing w:after="0" w:line="264" w:lineRule="auto"/>
        <w:jc w:val="both"/>
        <w:rPr>
          <w:rFonts w:asciiTheme="minorHAnsi" w:hAnsiTheme="minorHAnsi" w:cstheme="minorBidi"/>
        </w:rPr>
      </w:pPr>
      <w:r w:rsidRPr="0075351C">
        <w:rPr>
          <w:rFonts w:asciiTheme="minorHAnsi" w:hAnsiTheme="minorHAnsi" w:cstheme="minorBidi"/>
        </w:rPr>
        <w:t>Final Evaluation Report – September 2022</w:t>
      </w:r>
    </w:p>
    <w:p w14:paraId="450F90D5" w14:textId="77777777" w:rsidR="00E00BD9" w:rsidRPr="0075351C" w:rsidRDefault="00E00BD9" w:rsidP="00E00BD9">
      <w:pPr>
        <w:pStyle w:val="ListParagraph"/>
        <w:numPr>
          <w:ilvl w:val="0"/>
          <w:numId w:val="4"/>
        </w:numPr>
        <w:spacing w:after="0" w:line="264" w:lineRule="auto"/>
        <w:jc w:val="both"/>
        <w:rPr>
          <w:rFonts w:asciiTheme="minorHAnsi" w:hAnsiTheme="minorHAnsi" w:cstheme="minorBidi"/>
        </w:rPr>
      </w:pPr>
      <w:r w:rsidRPr="0075351C">
        <w:rPr>
          <w:rFonts w:asciiTheme="minorHAnsi" w:hAnsiTheme="minorHAnsi" w:cstheme="minorBidi"/>
        </w:rPr>
        <w:t>Summative Assessment Summary Template – September 2022</w:t>
      </w:r>
    </w:p>
    <w:p w14:paraId="01340E2E" w14:textId="77777777" w:rsidR="00E00BD9" w:rsidRPr="0075351C" w:rsidRDefault="00E00BD9" w:rsidP="00E00BD9">
      <w:pPr>
        <w:pStyle w:val="ListParagraph"/>
        <w:numPr>
          <w:ilvl w:val="0"/>
          <w:numId w:val="4"/>
        </w:numPr>
        <w:spacing w:after="0" w:line="264" w:lineRule="auto"/>
        <w:jc w:val="both"/>
        <w:rPr>
          <w:rFonts w:asciiTheme="minorHAnsi" w:hAnsiTheme="minorHAnsi" w:cstheme="minorBidi"/>
        </w:rPr>
      </w:pPr>
      <w:r w:rsidRPr="0075351C">
        <w:rPr>
          <w:rFonts w:asciiTheme="minorHAnsi" w:hAnsiTheme="minorHAnsi" w:cstheme="minorBidi"/>
        </w:rPr>
        <w:t xml:space="preserve">Summative Assessment Data Monitoring Template – September 2022 </w:t>
      </w:r>
    </w:p>
    <w:p w14:paraId="4510A32C" w14:textId="77777777" w:rsidR="00E00BD9" w:rsidRPr="0075351C" w:rsidRDefault="00E00BD9" w:rsidP="00E00BD9">
      <w:pPr>
        <w:pStyle w:val="ListParagraph"/>
        <w:numPr>
          <w:ilvl w:val="0"/>
          <w:numId w:val="4"/>
        </w:numPr>
        <w:spacing w:after="0" w:line="264" w:lineRule="auto"/>
        <w:jc w:val="both"/>
        <w:rPr>
          <w:rFonts w:asciiTheme="minorHAnsi" w:hAnsiTheme="minorHAnsi" w:cstheme="minorBidi"/>
        </w:rPr>
      </w:pPr>
      <w:r w:rsidRPr="0075351C">
        <w:rPr>
          <w:rFonts w:asciiTheme="minorHAnsi" w:hAnsiTheme="minorHAnsi" w:cstheme="minorBidi"/>
        </w:rPr>
        <w:t>Project Completion – December 2022</w:t>
      </w:r>
    </w:p>
    <w:p w14:paraId="2A50AC20" w14:textId="77777777" w:rsidR="00E00BD9" w:rsidRPr="0075351C" w:rsidRDefault="00E00BD9" w:rsidP="00E00BD9">
      <w:pPr>
        <w:spacing w:after="0"/>
        <w:jc w:val="both"/>
        <w:rPr>
          <w:sz w:val="24"/>
          <w:szCs w:val="24"/>
        </w:rPr>
      </w:pPr>
    </w:p>
    <w:p w14:paraId="73E7FE18" w14:textId="77777777" w:rsidR="00E00BD9" w:rsidRPr="0075351C" w:rsidRDefault="00E00BD9" w:rsidP="00E00BD9">
      <w:pPr>
        <w:spacing w:after="0"/>
        <w:jc w:val="both"/>
        <w:rPr>
          <w:sz w:val="24"/>
          <w:szCs w:val="24"/>
        </w:rPr>
      </w:pPr>
      <w:r w:rsidRPr="0075351C">
        <w:rPr>
          <w:sz w:val="24"/>
          <w:szCs w:val="24"/>
        </w:rPr>
        <w:t>The Summative Assessment reports provided by the procured service provider will include the following:</w:t>
      </w:r>
    </w:p>
    <w:p w14:paraId="260BE0F2" w14:textId="77777777" w:rsidR="00E00BD9" w:rsidRPr="0075351C" w:rsidRDefault="00E00BD9" w:rsidP="00E00BD9">
      <w:pPr>
        <w:spacing w:after="0"/>
        <w:jc w:val="both"/>
        <w:rPr>
          <w:sz w:val="24"/>
          <w:szCs w:val="24"/>
        </w:rPr>
      </w:pPr>
    </w:p>
    <w:p w14:paraId="30C17211"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Details of the aims and objectives of the evaluation;</w:t>
      </w:r>
    </w:p>
    <w:p w14:paraId="0841BAF7"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Methodologies undertaken to gather evidence for the reports;</w:t>
      </w:r>
    </w:p>
    <w:p w14:paraId="5CAE3F77"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Impact and achievement of the programme against the XPLOR vision and objectives;</w:t>
      </w:r>
    </w:p>
    <w:p w14:paraId="23C598BD"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Case studies of successful project delivery to SME’s SMEs;</w:t>
      </w:r>
    </w:p>
    <w:p w14:paraId="6E8162B3"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Key findings and recommendations/ Exit Strategy; and</w:t>
      </w:r>
    </w:p>
    <w:p w14:paraId="74B45746" w14:textId="77777777" w:rsidR="00E00BD9" w:rsidRPr="0075351C" w:rsidRDefault="00E00BD9" w:rsidP="00E00BD9">
      <w:pPr>
        <w:numPr>
          <w:ilvl w:val="0"/>
          <w:numId w:val="3"/>
        </w:numPr>
        <w:spacing w:after="0" w:line="240" w:lineRule="auto"/>
        <w:contextualSpacing/>
        <w:jc w:val="both"/>
        <w:rPr>
          <w:sz w:val="24"/>
          <w:szCs w:val="24"/>
        </w:rPr>
      </w:pPr>
      <w:r w:rsidRPr="0075351C">
        <w:rPr>
          <w:sz w:val="24"/>
          <w:szCs w:val="24"/>
        </w:rPr>
        <w:t>An Executive Summary highlighting key findings and recommendations, which can be issued as a ‘stand-alone document”.</w:t>
      </w:r>
    </w:p>
    <w:p w14:paraId="45850826" w14:textId="77777777" w:rsidR="00E00BD9" w:rsidRPr="0075351C" w:rsidRDefault="00E00BD9" w:rsidP="00E00BD9">
      <w:pPr>
        <w:spacing w:after="0"/>
        <w:contextualSpacing/>
        <w:jc w:val="both"/>
        <w:rPr>
          <w:sz w:val="24"/>
          <w:szCs w:val="24"/>
        </w:rPr>
      </w:pPr>
      <w:r w:rsidRPr="0075351C">
        <w:rPr>
          <w:sz w:val="24"/>
          <w:szCs w:val="24"/>
        </w:rPr>
        <w:t>The final report will be published on the XPLOR website and shared with key stakeholders including MHCLG.</w:t>
      </w:r>
    </w:p>
    <w:p w14:paraId="1B966D0D" w14:textId="77777777" w:rsidR="00E00BD9" w:rsidRPr="0075351C" w:rsidRDefault="00E00BD9" w:rsidP="00E00BD9">
      <w:pPr>
        <w:pStyle w:val="Heading1"/>
        <w:spacing w:after="0"/>
        <w:rPr>
          <w:rFonts w:asciiTheme="minorHAnsi" w:eastAsiaTheme="minorHAnsi" w:hAnsiTheme="minorHAnsi" w:cstheme="minorBidi"/>
          <w:bCs w:val="0"/>
          <w:kern w:val="0"/>
          <w:sz w:val="24"/>
          <w:szCs w:val="24"/>
          <w:lang w:eastAsia="en-US"/>
        </w:rPr>
      </w:pPr>
      <w:bookmarkStart w:id="4" w:name="_Toc57025248"/>
      <w:r w:rsidRPr="0075351C">
        <w:rPr>
          <w:rFonts w:asciiTheme="minorHAnsi" w:eastAsiaTheme="minorHAnsi" w:hAnsiTheme="minorHAnsi" w:cstheme="minorBidi"/>
          <w:bCs w:val="0"/>
          <w:kern w:val="0"/>
          <w:sz w:val="24"/>
          <w:szCs w:val="24"/>
          <w:lang w:eastAsia="en-US"/>
        </w:rPr>
        <w:t>Invitation for Proposals</w:t>
      </w:r>
      <w:bookmarkEnd w:id="4"/>
    </w:p>
    <w:p w14:paraId="74E25DFE"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2B3CC40C"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Submissions should be delivered in the following order:</w:t>
      </w:r>
    </w:p>
    <w:p w14:paraId="5539D40E"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2688F2CE"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Researcher/consortium profile and experience </w:t>
      </w:r>
    </w:p>
    <w:p w14:paraId="6ED79AE1"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Methodology and approach (including consideration for project risks)</w:t>
      </w:r>
    </w:p>
    <w:p w14:paraId="605DA5F8"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Project timeline</w:t>
      </w:r>
    </w:p>
    <w:p w14:paraId="03B4FB3B"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Two references for conducting similar work within the last three (3) years</w:t>
      </w:r>
    </w:p>
    <w:p w14:paraId="5116BBA2"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A sample of one similar evaluation report or more</w:t>
      </w:r>
    </w:p>
    <w:p w14:paraId="70290E57" w14:textId="77777777" w:rsidR="00E00BD9" w:rsidRPr="0075351C" w:rsidRDefault="00E00BD9" w:rsidP="00E00BD9">
      <w:pPr>
        <w:pStyle w:val="Body"/>
        <w:numPr>
          <w:ilvl w:val="0"/>
          <w:numId w:val="2"/>
        </w:numPr>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Details of your Professional Indemnity Insurance.</w:t>
      </w:r>
    </w:p>
    <w:p w14:paraId="72180D4C" w14:textId="77777777" w:rsidR="00E00BD9" w:rsidRPr="0075351C" w:rsidRDefault="00E00BD9" w:rsidP="00E00BD9">
      <w:pPr>
        <w:pStyle w:val="Body"/>
        <w:spacing w:after="0"/>
        <w:ind w:left="720"/>
        <w:jc w:val="both"/>
        <w:rPr>
          <w:rFonts w:asciiTheme="minorHAnsi" w:eastAsiaTheme="minorHAnsi" w:hAnsiTheme="minorHAnsi" w:cstheme="minorBidi"/>
          <w:color w:val="auto"/>
          <w:sz w:val="24"/>
          <w:szCs w:val="24"/>
          <w:bdr w:val="none" w:sz="0" w:space="0" w:color="auto"/>
          <w:lang w:val="en-GB" w:eastAsia="en-US"/>
        </w:rPr>
      </w:pPr>
    </w:p>
    <w:p w14:paraId="1FC319D1"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Proposals from partnerships/consortia or group will be accepted; however, this should be through one lead partner with which the Backstage Academy will contract. If you will be delivering through a sub-contractor details of this should be provided in proposal. </w:t>
      </w:r>
    </w:p>
    <w:p w14:paraId="1AC22E7C" w14:textId="77777777" w:rsidR="00E00BD9" w:rsidRPr="0075351C" w:rsidRDefault="00E00BD9" w:rsidP="00E00BD9">
      <w:pPr>
        <w:spacing w:after="0"/>
        <w:rPr>
          <w:sz w:val="24"/>
          <w:szCs w:val="24"/>
        </w:rPr>
      </w:pPr>
    </w:p>
    <w:tbl>
      <w:tblPr>
        <w:tblW w:w="924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3"/>
        <w:gridCol w:w="4319"/>
      </w:tblGrid>
      <w:tr w:rsidR="00E00BD9" w:rsidRPr="0075351C" w14:paraId="0B612DF5" w14:textId="77777777" w:rsidTr="00650028">
        <w:trPr>
          <w:trHeight w:val="25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106F" w14:textId="77777777" w:rsidR="00E00BD9" w:rsidRPr="0075351C" w:rsidRDefault="00E00BD9" w:rsidP="00650028">
            <w:pPr>
              <w:pStyle w:val="Body"/>
              <w:spacing w:after="0"/>
              <w:jc w:val="both"/>
              <w:outlineLvl w:val="0"/>
              <w:rPr>
                <w:rFonts w:asciiTheme="minorHAnsi" w:eastAsiaTheme="minorHAnsi" w:hAnsiTheme="minorHAnsi" w:cstheme="minorBidi"/>
                <w:color w:val="auto"/>
                <w:sz w:val="24"/>
                <w:szCs w:val="24"/>
                <w:bdr w:val="none" w:sz="0" w:space="0" w:color="auto"/>
                <w:lang w:val="en-GB" w:eastAsia="en-US"/>
              </w:rPr>
            </w:pPr>
            <w:bookmarkStart w:id="5" w:name="_Toc57025249"/>
            <w:r w:rsidRPr="0075351C">
              <w:rPr>
                <w:rFonts w:asciiTheme="minorHAnsi" w:eastAsiaTheme="minorHAnsi" w:hAnsiTheme="minorHAnsi" w:cstheme="minorBidi"/>
                <w:color w:val="auto"/>
                <w:sz w:val="24"/>
                <w:szCs w:val="24"/>
                <w:bdr w:val="none" w:sz="0" w:space="0" w:color="auto"/>
                <w:lang w:val="en-GB" w:eastAsia="en-US"/>
              </w:rPr>
              <w:t>Deadline for Submission of Proposals</w:t>
            </w:r>
            <w:bookmarkEnd w:id="5"/>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92D71"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31st October 2021</w:t>
            </w:r>
          </w:p>
        </w:tc>
      </w:tr>
      <w:tr w:rsidR="00E00BD9" w:rsidRPr="0075351C" w14:paraId="237775B3" w14:textId="77777777" w:rsidTr="00650028">
        <w:trPr>
          <w:trHeight w:val="25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CC4AE"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Short-listing and Decision ( including telephone interviews if required  )</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2154A"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W/C 22nd November2021</w:t>
            </w:r>
          </w:p>
        </w:tc>
      </w:tr>
      <w:tr w:rsidR="00E00BD9" w:rsidRPr="0075351C" w14:paraId="67597060" w14:textId="77777777" w:rsidTr="00650028">
        <w:trPr>
          <w:trHeight w:val="25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B283F"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Initial Contracting Meeting</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3D905"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December 2021 </w:t>
            </w:r>
          </w:p>
        </w:tc>
      </w:tr>
      <w:tr w:rsidR="00E00BD9" w:rsidRPr="0075351C" w14:paraId="19B2D98C" w14:textId="77777777" w:rsidTr="00650028">
        <w:trPr>
          <w:trHeight w:val="25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911BA"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Delivery of Evaluations</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9FA44"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 Spring 2021-Summer 2022</w:t>
            </w:r>
          </w:p>
        </w:tc>
      </w:tr>
      <w:tr w:rsidR="00E00BD9" w:rsidRPr="0075351C" w14:paraId="599C9A47" w14:textId="77777777" w:rsidTr="00650028">
        <w:trPr>
          <w:trHeight w:val="493"/>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9756"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Anticipated End Date</w:t>
            </w:r>
          </w:p>
        </w:tc>
        <w:tc>
          <w:tcPr>
            <w:tcW w:w="4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AC963" w14:textId="77777777" w:rsidR="00E00BD9" w:rsidRPr="0075351C" w:rsidRDefault="00E00BD9" w:rsidP="00650028">
            <w:pPr>
              <w:pStyle w:val="Body"/>
              <w:spacing w:before="60" w:after="0"/>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October</w:t>
            </w:r>
            <w:r>
              <w:rPr>
                <w:rFonts w:asciiTheme="minorHAnsi" w:eastAsiaTheme="minorHAnsi" w:hAnsiTheme="minorHAnsi" w:cstheme="minorBidi"/>
                <w:color w:val="auto"/>
                <w:sz w:val="24"/>
                <w:szCs w:val="24"/>
                <w:bdr w:val="none" w:sz="0" w:space="0" w:color="auto"/>
                <w:lang w:val="en-GB" w:eastAsia="en-US"/>
              </w:rPr>
              <w:t>/November</w:t>
            </w:r>
            <w:r w:rsidRPr="0075351C">
              <w:rPr>
                <w:rFonts w:asciiTheme="minorHAnsi" w:eastAsiaTheme="minorHAnsi" w:hAnsiTheme="minorHAnsi" w:cstheme="minorBidi"/>
                <w:color w:val="auto"/>
                <w:sz w:val="24"/>
                <w:szCs w:val="24"/>
                <w:bdr w:val="none" w:sz="0" w:space="0" w:color="auto"/>
                <w:lang w:val="en-GB" w:eastAsia="en-US"/>
              </w:rPr>
              <w:t xml:space="preserve"> 2022 </w:t>
            </w:r>
          </w:p>
        </w:tc>
      </w:tr>
    </w:tbl>
    <w:p w14:paraId="67D78249" w14:textId="77777777" w:rsidR="00E00BD9" w:rsidRPr="0075351C" w:rsidRDefault="00E00BD9" w:rsidP="00E00BD9">
      <w:pPr>
        <w:pStyle w:val="Body"/>
        <w:spacing w:after="0"/>
        <w:outlineLvl w:val="0"/>
        <w:rPr>
          <w:rFonts w:asciiTheme="minorHAnsi" w:eastAsiaTheme="minorHAnsi" w:hAnsiTheme="minorHAnsi" w:cstheme="minorBidi"/>
          <w:color w:val="auto"/>
          <w:sz w:val="24"/>
          <w:szCs w:val="24"/>
          <w:bdr w:val="none" w:sz="0" w:space="0" w:color="auto"/>
          <w:lang w:val="en-GB" w:eastAsia="en-US"/>
        </w:rPr>
      </w:pPr>
    </w:p>
    <w:p w14:paraId="51AE2B52"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Evaluators must have a current GDPR policy in place and provide evidence of how you will use and store any personal identifiable information.</w:t>
      </w:r>
    </w:p>
    <w:p w14:paraId="21C0CBD9"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7C58FC40" w14:textId="77777777" w:rsidR="00E00BD9" w:rsidRPr="0075351C" w:rsidRDefault="00E00BD9" w:rsidP="00E00BD9">
      <w:pPr>
        <w:pStyle w:val="Body"/>
        <w:tabs>
          <w:tab w:val="left" w:pos="6240"/>
        </w:tabs>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You are instructed to return your documents by email to: </w:t>
      </w:r>
      <w:hyperlink r:id="rId12" w:history="1">
        <w:r w:rsidRPr="0075351C">
          <w:rPr>
            <w:color w:val="auto"/>
            <w:sz w:val="24"/>
            <w:szCs w:val="24"/>
          </w:rPr>
          <w:t>backstageinnovationhub@wakefield.gov.uk</w:t>
        </w:r>
      </w:hyperlink>
      <w:r w:rsidRPr="0075351C">
        <w:rPr>
          <w:rFonts w:asciiTheme="minorHAnsi" w:eastAsiaTheme="minorHAnsi" w:hAnsiTheme="minorHAnsi" w:cstheme="minorBidi"/>
          <w:color w:val="auto"/>
          <w:sz w:val="24"/>
          <w:szCs w:val="24"/>
          <w:bdr w:val="none" w:sz="0" w:space="0" w:color="auto"/>
          <w:lang w:val="en-GB" w:eastAsia="en-US"/>
        </w:rPr>
        <w:t xml:space="preserve">  </w:t>
      </w:r>
    </w:p>
    <w:p w14:paraId="7CD21AD5"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235C59B0"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Emails must be clearly marked:  “Confidential – XPLOR Project Evaluation and Summative Assessment”</w:t>
      </w:r>
    </w:p>
    <w:p w14:paraId="28E9759A"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1F51656C"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You MUST respond by 31st October 2021 to be considered.</w:t>
      </w:r>
    </w:p>
    <w:p w14:paraId="10AC96DC"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4824395B"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All clarification requests relating to the content and submission of proposals should be sent to the Backstage Innovation Hub/XPLOR inbox </w:t>
      </w:r>
      <w:hyperlink r:id="rId13" w:history="1">
        <w:r w:rsidRPr="0075351C">
          <w:rPr>
            <w:color w:val="auto"/>
            <w:sz w:val="24"/>
            <w:szCs w:val="24"/>
          </w:rPr>
          <w:t>backstageinnovationhub@wakefield.gov.uk</w:t>
        </w:r>
      </w:hyperlink>
    </w:p>
    <w:p w14:paraId="30B9442E"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p>
    <w:p w14:paraId="4E7976AC" w14:textId="77777777" w:rsidR="00E00BD9" w:rsidRPr="0075351C" w:rsidRDefault="00E00BD9" w:rsidP="00E00BD9">
      <w:pPr>
        <w:pStyle w:val="Body"/>
        <w:spacing w:after="0"/>
        <w:jc w:val="both"/>
        <w:rPr>
          <w:rFonts w:asciiTheme="minorHAnsi" w:eastAsiaTheme="minorHAnsi" w:hAnsiTheme="minorHAnsi" w:cstheme="minorBidi"/>
          <w:color w:val="auto"/>
          <w:sz w:val="24"/>
          <w:szCs w:val="24"/>
          <w:bdr w:val="none" w:sz="0" w:space="0" w:color="auto"/>
          <w:lang w:val="en-GB" w:eastAsia="en-US"/>
        </w:rPr>
      </w:pPr>
      <w:r w:rsidRPr="0075351C">
        <w:rPr>
          <w:rFonts w:asciiTheme="minorHAnsi" w:eastAsiaTheme="minorHAnsi" w:hAnsiTheme="minorHAnsi" w:cstheme="minorBidi"/>
          <w:color w:val="auto"/>
          <w:sz w:val="24"/>
          <w:szCs w:val="24"/>
          <w:bdr w:val="none" w:sz="0" w:space="0" w:color="auto"/>
          <w:lang w:val="en-GB" w:eastAsia="en-US"/>
        </w:rPr>
        <w:t xml:space="preserve">Wakefield Council reserves the right to request additional information and/or to interview providers about their proposal. If suitable evaluators or combination of evaluators cannot be identified, Wakefield Council reserve the right not to appoint an evaluator to the work package. </w:t>
      </w:r>
    </w:p>
    <w:p w14:paraId="24CA75C9" w14:textId="77777777" w:rsidR="00E00BD9" w:rsidRPr="0075351C" w:rsidRDefault="00E00BD9" w:rsidP="00E00BD9">
      <w:pPr>
        <w:pStyle w:val="Body"/>
        <w:spacing w:after="0"/>
        <w:rPr>
          <w:rFonts w:asciiTheme="minorHAnsi" w:eastAsiaTheme="minorHAnsi" w:hAnsiTheme="minorHAnsi" w:cstheme="minorBidi"/>
          <w:color w:val="auto"/>
          <w:sz w:val="24"/>
          <w:szCs w:val="24"/>
          <w:bdr w:val="none" w:sz="0" w:space="0" w:color="auto"/>
          <w:lang w:val="en-GB" w:eastAsia="en-US"/>
        </w:rPr>
      </w:pPr>
    </w:p>
    <w:p w14:paraId="06155692" w14:textId="77777777" w:rsidR="000B7BAD" w:rsidRDefault="000B7BAD"/>
    <w:sectPr w:rsidR="000B7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F4D"/>
    <w:multiLevelType w:val="hybridMultilevel"/>
    <w:tmpl w:val="981C0A32"/>
    <w:lvl w:ilvl="0" w:tplc="30D8201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F27102">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947652">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2A58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85A2">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E0F9AC">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B495A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3C53E0">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946894">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30C5869"/>
    <w:multiLevelType w:val="hybridMultilevel"/>
    <w:tmpl w:val="0BEE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C3614"/>
    <w:multiLevelType w:val="hybridMultilevel"/>
    <w:tmpl w:val="497C7678"/>
    <w:lvl w:ilvl="0" w:tplc="08090001">
      <w:start w:val="1"/>
      <w:numFmt w:val="bullet"/>
      <w:lvlText w:val=""/>
      <w:lvlJc w:val="left"/>
      <w:pPr>
        <w:ind w:left="720" w:hanging="360"/>
      </w:pPr>
      <w:rPr>
        <w:rFonts w:ascii="Symbol" w:hAnsi="Symbol" w:hint="default"/>
      </w:rPr>
    </w:lvl>
    <w:lvl w:ilvl="1" w:tplc="EABCB3B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2CCB"/>
    <w:multiLevelType w:val="hybridMultilevel"/>
    <w:tmpl w:val="344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74D89"/>
    <w:multiLevelType w:val="hybridMultilevel"/>
    <w:tmpl w:val="5B0426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D9"/>
    <w:rsid w:val="000B7BAD"/>
    <w:rsid w:val="004A4533"/>
    <w:rsid w:val="00D51C69"/>
    <w:rsid w:val="00E0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C2886"/>
  <w15:chartTrackingRefBased/>
  <w15:docId w15:val="{76F5283D-6266-41AD-9EC3-ADB729B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D9"/>
  </w:style>
  <w:style w:type="paragraph" w:styleId="Heading1">
    <w:name w:val="heading 1"/>
    <w:basedOn w:val="Normal"/>
    <w:link w:val="Heading1Char"/>
    <w:uiPriority w:val="9"/>
    <w:qFormat/>
    <w:rsid w:val="00E00B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BD9"/>
    <w:rPr>
      <w:rFonts w:ascii="Times New Roman" w:eastAsia="Times New Roman" w:hAnsi="Times New Roman" w:cs="Times New Roman"/>
      <w:b/>
      <w:bCs/>
      <w:kern w:val="36"/>
      <w:sz w:val="48"/>
      <w:szCs w:val="48"/>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00BD9"/>
    <w:pPr>
      <w:spacing w:after="200" w:line="276" w:lineRule="auto"/>
      <w:ind w:left="720"/>
      <w:contextualSpacing/>
    </w:pPr>
    <w:rPr>
      <w:rFonts w:ascii="Arial" w:hAnsi="Arial" w:cs="Arial"/>
      <w:sz w:val="24"/>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00BD9"/>
    <w:rPr>
      <w:rFonts w:ascii="Arial" w:hAnsi="Arial" w:cs="Arial"/>
      <w:sz w:val="24"/>
      <w:szCs w:val="24"/>
    </w:rPr>
  </w:style>
  <w:style w:type="paragraph" w:customStyle="1" w:styleId="Body">
    <w:name w:val="Body"/>
    <w:rsid w:val="00E00BD9"/>
    <w:pPr>
      <w:pBdr>
        <w:top w:val="nil"/>
        <w:left w:val="nil"/>
        <w:bottom w:val="nil"/>
        <w:right w:val="nil"/>
        <w:between w:val="nil"/>
        <w:bar w:val="nil"/>
      </w:pBdr>
      <w:spacing w:after="120" w:line="240" w:lineRule="auto"/>
    </w:pPr>
    <w:rPr>
      <w:rFonts w:ascii="Arial" w:eastAsia="Arial Unicode MS" w:hAnsi="Arial" w:cs="Arial Unicode MS"/>
      <w:color w:val="000000"/>
      <w:u w:color="000000"/>
      <w:bdr w:val="nil"/>
      <w:lang w:val="en-US" w:eastAsia="en-GB"/>
    </w:rPr>
  </w:style>
  <w:style w:type="character" w:styleId="Hyperlink">
    <w:name w:val="Hyperlink"/>
    <w:basedOn w:val="DefaultParagraphFont"/>
    <w:uiPriority w:val="99"/>
    <w:unhideWhenUsed/>
    <w:rsid w:val="00E00B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ckstageinnovationhub@wakefiel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ckstageinnovationhub@wakefiel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backstageinnovationhub@wakefield.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E7960F95264EA953F47F73A9555E" ma:contentTypeVersion="7" ma:contentTypeDescription="Create a new document." ma:contentTypeScope="" ma:versionID="779c294aaeb756353ac318d0a20d68f5">
  <xsd:schema xmlns:xsd="http://www.w3.org/2001/XMLSchema" xmlns:xs="http://www.w3.org/2001/XMLSchema" xmlns:p="http://schemas.microsoft.com/office/2006/metadata/properties" xmlns:ns1="http://schemas.microsoft.com/sharepoint/v3" xmlns:ns2="3bc4ffac-db66-4629-a2a4-198b68680464" xmlns:ns3="http://schemas.microsoft.com/sharepoint/v4" targetNamespace="http://schemas.microsoft.com/office/2006/metadata/properties" ma:root="true" ma:fieldsID="e4dda05dcb3d417d0fe471c658359150" ns1:_="" ns2:_="" ns3:_="">
    <xsd:import namespace="http://schemas.microsoft.com/sharepoint/v3"/>
    <xsd:import namespace="3bc4ffac-db66-4629-a2a4-198b68680464"/>
    <xsd:import namespace="http://schemas.microsoft.com/sharepoint/v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Economic development|d7b0927e-0325-4233-9e96-11716ff403d1"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77e4a68-af87-44bb-bfef-10f599efe3c3}" ma:internalName="TaxCatchAll" ma:showField="CatchAllData" ma:web="ad8816fb-89ca-4fe2-b24b-bebf076831a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77e4a68-af87-44bb-bfef-10f599efe3c3}" ma:internalName="TaxCatchAllLabel" ma:readOnly="true" ma:showField="CatchAllDataLabel" ma:web="ad8816fb-89ca-4fe2-b24b-bebf076831a6">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Economic Growth and Housing|f4ad05d9-3330-4536-9da9-8991cc6a3576"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Economic Growth and Housing</TermName>
          <TermId xmlns="http://schemas.microsoft.com/office/infopath/2007/PartnerControls">f4ad05d9-3330-4536-9da9-8991cc6a3576</TermId>
        </TermInfo>
      </Terms>
    </TeamTaxHTField0>
    <TaxCatchAll xmlns="3bc4ffac-db66-4629-a2a4-198b68680464">
      <Value>2</Value>
      <Value>1</Value>
    </TaxCatchAll>
    <IconOverlay xmlns="http://schemas.microsoft.com/sharepoint/v4" xsi:nil="true"/>
    <ClassificationTaxHTField0 xmlns="3bc4ffac-db66-4629-a2a4-198b68680464">
      <Terms xmlns="http://schemas.microsoft.com/office/infopath/2007/PartnerControls">
        <TermInfo xmlns="http://schemas.microsoft.com/office/infopath/2007/PartnerControls">
          <TermName xmlns="http://schemas.microsoft.com/office/infopath/2007/PartnerControls">Economic development</TermName>
          <TermId xmlns="http://schemas.microsoft.com/office/infopath/2007/PartnerControls">d7b0927e-0325-4233-9e96-11716ff403d1</TermId>
        </TermInfo>
      </Terms>
    </Classification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e6b2a5-9911-436b-be0b-29583905b62b" ContentTypeId="0x0101" PreviousValue="false"/>
</file>

<file path=customXml/itemProps1.xml><?xml version="1.0" encoding="utf-8"?>
<ds:datastoreItem xmlns:ds="http://schemas.openxmlformats.org/officeDocument/2006/customXml" ds:itemID="{CA60ADBF-AF86-44A4-B5EA-03F5202DE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c4ffac-db66-4629-a2a4-198b686804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6F8E4-C0DF-41C3-BA7D-06E62F3F88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3bc4ffac-db66-4629-a2a4-198b68680464"/>
    <ds:schemaRef ds:uri="http://www.w3.org/XML/1998/namespace"/>
    <ds:schemaRef ds:uri="http://purl.org/dc/dcmitype/"/>
  </ds:schemaRefs>
</ds:datastoreItem>
</file>

<file path=customXml/itemProps3.xml><?xml version="1.0" encoding="utf-8"?>
<ds:datastoreItem xmlns:ds="http://schemas.openxmlformats.org/officeDocument/2006/customXml" ds:itemID="{0AA2D456-4EAD-4D3C-BCD2-5CAEAF094EEC}">
  <ds:schemaRefs>
    <ds:schemaRef ds:uri="http://schemas.microsoft.com/sharepoint/v3/contenttype/forms"/>
  </ds:schemaRefs>
</ds:datastoreItem>
</file>

<file path=customXml/itemProps4.xml><?xml version="1.0" encoding="utf-8"?>
<ds:datastoreItem xmlns:ds="http://schemas.openxmlformats.org/officeDocument/2006/customXml" ds:itemID="{16F266FC-18E6-48F6-85BB-E13D5D82B81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Clare</dc:creator>
  <cp:keywords/>
  <dc:description/>
  <cp:lastModifiedBy>Casey, Leah</cp:lastModifiedBy>
  <cp:revision>2</cp:revision>
  <dcterms:created xsi:type="dcterms:W3CDTF">2021-10-28T12:22:00Z</dcterms:created>
  <dcterms:modified xsi:type="dcterms:W3CDTF">2021-10-28T12:22:00Z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0x01010051C3E7960F95264EA953F47F73A9555E</vt:lpwstr>
  </property>
  <property fmtid="{D5CDD505-2E9C-101B-9397-08002B2CF9AE}" pid="3" name="Team">
    <vt:lpwstr>1;#Economic Growth and Housing|f4ad05d9-3330-4536-9da9-8991cc6a3576</vt:lpwstr>
  </property>
  <property fmtid="{D5CDD505-2E9C-101B-9397-08002B2CF9AE}" pid="4" name="Classification">
    <vt:lpwstr>2;#Economic development|d7b0927e-0325-4233-9e96-11716ff403d1</vt:lpwstr>
  </property>
</Properties>
</file>